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AF3" w:rsidRDefault="000A4AF3">
      <w:pPr>
        <w:rPr>
          <w:b/>
          <w:sz w:val="22"/>
        </w:rPr>
      </w:pPr>
      <w:r>
        <w:rPr>
          <w:b/>
          <w:sz w:val="22"/>
        </w:rPr>
        <w:t>Změna ZD č.1</w:t>
      </w:r>
      <w:bookmarkStart w:id="0" w:name="_GoBack"/>
      <w:bookmarkEnd w:id="0"/>
    </w:p>
    <w:p w:rsidR="000A4AF3" w:rsidRDefault="000A4AF3">
      <w:pPr>
        <w:rPr>
          <w:b/>
          <w:sz w:val="22"/>
        </w:rPr>
      </w:pPr>
    </w:p>
    <w:p w:rsidR="003727EC" w:rsidRPr="000A4AF3" w:rsidRDefault="000A4AF3">
      <w:pPr>
        <w:rPr>
          <w:b/>
          <w:sz w:val="22"/>
        </w:rPr>
      </w:pPr>
      <w:r w:rsidRPr="000A4AF3">
        <w:rPr>
          <w:b/>
          <w:sz w:val="22"/>
        </w:rPr>
        <w:t>Dotazy uchazeče:</w:t>
      </w:r>
    </w:p>
    <w:p w:rsidR="000A4AF3" w:rsidRPr="000A4AF3" w:rsidRDefault="000A4AF3">
      <w:pPr>
        <w:rPr>
          <w:szCs w:val="20"/>
        </w:rPr>
      </w:pPr>
    </w:p>
    <w:p w:rsidR="000A4AF3" w:rsidRPr="000A4AF3" w:rsidRDefault="000A4AF3" w:rsidP="000A4AF3">
      <w:pPr>
        <w:spacing w:after="240"/>
        <w:rPr>
          <w:color w:val="000000"/>
          <w:szCs w:val="20"/>
        </w:rPr>
      </w:pPr>
      <w:r w:rsidRPr="000A4AF3">
        <w:rPr>
          <w:bCs/>
          <w:color w:val="000000"/>
          <w:szCs w:val="20"/>
          <w:shd w:val="clear" w:color="auto" w:fill="FFFFFF"/>
        </w:rPr>
        <w:t xml:space="preserve">1. V technické zprávě </w:t>
      </w:r>
      <w:proofErr w:type="spellStart"/>
      <w:r w:rsidRPr="000A4AF3">
        <w:rPr>
          <w:bCs/>
          <w:color w:val="000000"/>
          <w:szCs w:val="20"/>
          <w:shd w:val="clear" w:color="auto" w:fill="FFFFFF"/>
        </w:rPr>
        <w:t>ja</w:t>
      </w:r>
      <w:proofErr w:type="spellEnd"/>
      <w:r w:rsidRPr="000A4AF3">
        <w:rPr>
          <w:bCs/>
          <w:color w:val="000000"/>
          <w:szCs w:val="20"/>
          <w:shd w:val="clear" w:color="auto" w:fill="FFFFFF"/>
        </w:rPr>
        <w:t xml:space="preserve"> napsáno, že bude měněna nášlapná vrstva schodiště (citace </w:t>
      </w:r>
      <w:proofErr w:type="spellStart"/>
      <w:proofErr w:type="gramStart"/>
      <w:r w:rsidRPr="000A4AF3">
        <w:rPr>
          <w:bCs/>
          <w:color w:val="000000"/>
          <w:szCs w:val="20"/>
          <w:shd w:val="clear" w:color="auto" w:fill="FFFFFF"/>
        </w:rPr>
        <w:t>viz</w:t>
      </w:r>
      <w:proofErr w:type="gramEnd"/>
      <w:r w:rsidRPr="000A4AF3">
        <w:rPr>
          <w:bCs/>
          <w:color w:val="000000"/>
          <w:szCs w:val="20"/>
          <w:shd w:val="clear" w:color="auto" w:fill="FFFFFF"/>
        </w:rPr>
        <w:t>.</w:t>
      </w:r>
      <w:proofErr w:type="gramStart"/>
      <w:r w:rsidRPr="000A4AF3">
        <w:rPr>
          <w:bCs/>
          <w:color w:val="000000"/>
          <w:szCs w:val="20"/>
          <w:shd w:val="clear" w:color="auto" w:fill="FFFFFF"/>
        </w:rPr>
        <w:t>níže</w:t>
      </w:r>
      <w:proofErr w:type="spellEnd"/>
      <w:proofErr w:type="gramEnd"/>
      <w:r w:rsidRPr="000A4AF3">
        <w:rPr>
          <w:bCs/>
          <w:color w:val="000000"/>
          <w:szCs w:val="20"/>
          <w:shd w:val="clear" w:color="auto" w:fill="FFFFFF"/>
        </w:rPr>
        <w:t>), ale ve VV k tomu nejsou položky, žádáme o vysvětlení.</w:t>
      </w:r>
      <w:r w:rsidRPr="000A4AF3">
        <w:rPr>
          <w:bCs/>
          <w:color w:val="000000"/>
          <w:szCs w:val="20"/>
        </w:rPr>
        <w:br/>
      </w:r>
      <w:r w:rsidRPr="000A4AF3">
        <w:rPr>
          <w:bCs/>
          <w:color w:val="000000"/>
          <w:szCs w:val="20"/>
        </w:rPr>
        <w:br/>
      </w:r>
      <w:r w:rsidRPr="000A4AF3">
        <w:rPr>
          <w:bCs/>
          <w:color w:val="000000"/>
          <w:szCs w:val="20"/>
          <w:shd w:val="clear" w:color="auto" w:fill="FFFFFF"/>
        </w:rPr>
        <w:t>e) Schodiště a rampy:</w:t>
      </w:r>
      <w:r w:rsidRPr="000A4AF3">
        <w:rPr>
          <w:bCs/>
          <w:color w:val="000000"/>
          <w:szCs w:val="20"/>
        </w:rPr>
        <w:br/>
      </w:r>
      <w:r w:rsidRPr="000A4AF3">
        <w:rPr>
          <w:bCs/>
          <w:color w:val="000000"/>
          <w:szCs w:val="20"/>
          <w:shd w:val="clear" w:color="auto" w:fill="FFFFFF"/>
        </w:rPr>
        <w:t>Budova je dvoupodlažní podsklepená. V budově jsou dvě samostatná schodiště. První propojující přízemí a druhé nadzemní podlaží. Toto schodiště je dvouramenné s keramickou dlažbou. Schodiště nebude měněno, dojde pouze k výměně nášlapné vrstvy za novou.</w:t>
      </w:r>
      <w:r w:rsidRPr="000A4AF3">
        <w:rPr>
          <w:bCs/>
          <w:color w:val="000000"/>
          <w:szCs w:val="20"/>
        </w:rPr>
        <w:br/>
      </w:r>
      <w:r w:rsidRPr="000A4AF3">
        <w:rPr>
          <w:bCs/>
          <w:color w:val="000000"/>
          <w:szCs w:val="20"/>
          <w:shd w:val="clear" w:color="auto" w:fill="FFFFFF"/>
        </w:rPr>
        <w:t>Druhé schodiště propojuje přízemí se suterénem a je jednoramenné. Schodiště zůstanou bez úprav.</w:t>
      </w:r>
      <w:r w:rsidRPr="000A4AF3">
        <w:rPr>
          <w:bCs/>
          <w:color w:val="000000"/>
          <w:szCs w:val="20"/>
        </w:rPr>
        <w:br/>
      </w:r>
      <w:r w:rsidRPr="000A4AF3">
        <w:rPr>
          <w:bCs/>
          <w:color w:val="000000"/>
          <w:szCs w:val="20"/>
        </w:rPr>
        <w:br/>
      </w:r>
      <w:r w:rsidRPr="000A4AF3">
        <w:rPr>
          <w:bCs/>
          <w:color w:val="000000"/>
          <w:szCs w:val="20"/>
          <w:shd w:val="clear" w:color="auto" w:fill="FFFFFF"/>
        </w:rPr>
        <w:t xml:space="preserve">2. Žádáme o upřesnění položky </w:t>
      </w:r>
      <w:proofErr w:type="gramStart"/>
      <w:r w:rsidRPr="000A4AF3">
        <w:rPr>
          <w:bCs/>
          <w:color w:val="000000"/>
          <w:szCs w:val="20"/>
          <w:shd w:val="clear" w:color="auto" w:fill="FFFFFF"/>
        </w:rPr>
        <w:t>č.71</w:t>
      </w:r>
      <w:proofErr w:type="gramEnd"/>
      <w:r w:rsidRPr="000A4AF3">
        <w:rPr>
          <w:bCs/>
          <w:color w:val="000000"/>
          <w:szCs w:val="20"/>
          <w:shd w:val="clear" w:color="auto" w:fill="FFFFFF"/>
        </w:rPr>
        <w:t xml:space="preserve"> „Úprava rozvodné skříně“.</w:t>
      </w:r>
    </w:p>
    <w:p w:rsidR="000A4AF3" w:rsidRPr="000A4AF3" w:rsidRDefault="000A4AF3">
      <w:pPr>
        <w:rPr>
          <w:b/>
          <w:sz w:val="22"/>
        </w:rPr>
      </w:pPr>
      <w:r w:rsidRPr="000A4AF3">
        <w:rPr>
          <w:b/>
          <w:sz w:val="22"/>
        </w:rPr>
        <w:t>Odpověď zadavatele:</w:t>
      </w:r>
    </w:p>
    <w:p w:rsidR="000A4AF3" w:rsidRPr="000A4AF3" w:rsidRDefault="000A4AF3" w:rsidP="000A4AF3">
      <w:pPr>
        <w:pStyle w:val="Odstavecseseznamem"/>
        <w:numPr>
          <w:ilvl w:val="0"/>
          <w:numId w:val="1"/>
        </w:numPr>
        <w:spacing w:after="0" w:line="240" w:lineRule="auto"/>
        <w:contextualSpacing w:val="0"/>
        <w:rPr>
          <w:color w:val="000000"/>
          <w:szCs w:val="20"/>
        </w:rPr>
      </w:pPr>
      <w:r w:rsidRPr="000A4AF3">
        <w:rPr>
          <w:color w:val="000000"/>
          <w:szCs w:val="20"/>
        </w:rPr>
        <w:t xml:space="preserve">nášlapná vrstva schodiště byla </w:t>
      </w:r>
      <w:proofErr w:type="gramStart"/>
      <w:r w:rsidRPr="000A4AF3">
        <w:rPr>
          <w:color w:val="000000"/>
          <w:szCs w:val="20"/>
        </w:rPr>
        <w:t>opravena v </w:t>
      </w:r>
      <w:proofErr w:type="spellStart"/>
      <w:r w:rsidRPr="000A4AF3">
        <w:rPr>
          <w:color w:val="000000"/>
          <w:szCs w:val="20"/>
        </w:rPr>
        <w:t>I.etapě</w:t>
      </w:r>
      <w:proofErr w:type="spellEnd"/>
      <w:proofErr w:type="gramEnd"/>
      <w:r w:rsidRPr="000A4AF3">
        <w:rPr>
          <w:color w:val="000000"/>
          <w:szCs w:val="20"/>
        </w:rPr>
        <w:t xml:space="preserve"> a popis zůstal omylem v této technické zprávě (</w:t>
      </w:r>
      <w:proofErr w:type="spellStart"/>
      <w:r w:rsidRPr="000A4AF3">
        <w:rPr>
          <w:color w:val="000000"/>
          <w:szCs w:val="20"/>
        </w:rPr>
        <w:t>II.etapy</w:t>
      </w:r>
      <w:proofErr w:type="spellEnd"/>
      <w:r w:rsidRPr="000A4AF3">
        <w:rPr>
          <w:color w:val="000000"/>
          <w:szCs w:val="20"/>
        </w:rPr>
        <w:t xml:space="preserve">). V příloze posíláme opravenou technickou zprávu. </w:t>
      </w:r>
    </w:p>
    <w:p w:rsidR="000A4AF3" w:rsidRPr="000A4AF3" w:rsidRDefault="000A4AF3" w:rsidP="000A4AF3">
      <w:pPr>
        <w:pStyle w:val="Odstavecseseznamem"/>
        <w:numPr>
          <w:ilvl w:val="0"/>
          <w:numId w:val="1"/>
        </w:numPr>
        <w:spacing w:after="0" w:line="240" w:lineRule="auto"/>
        <w:contextualSpacing w:val="0"/>
        <w:rPr>
          <w:color w:val="000000"/>
          <w:szCs w:val="20"/>
        </w:rPr>
      </w:pPr>
      <w:r w:rsidRPr="000A4AF3">
        <w:rPr>
          <w:color w:val="000000"/>
          <w:szCs w:val="20"/>
        </w:rPr>
        <w:t xml:space="preserve">položka </w:t>
      </w:r>
      <w:proofErr w:type="gramStart"/>
      <w:r w:rsidRPr="000A4AF3">
        <w:rPr>
          <w:color w:val="000000"/>
          <w:szCs w:val="20"/>
        </w:rPr>
        <w:t>č.71</w:t>
      </w:r>
      <w:proofErr w:type="gramEnd"/>
      <w:r w:rsidRPr="000A4AF3">
        <w:rPr>
          <w:color w:val="000000"/>
          <w:szCs w:val="20"/>
        </w:rPr>
        <w:t xml:space="preserve"> „Úprava rozvodné skříně“ byla opravena, resp. byl opraven text, aby byly lépe vysvětleny požadované práce. K tomuto vyjádření posíláme opravený rozpočet a foto na budovu. </w:t>
      </w:r>
    </w:p>
    <w:p w:rsidR="000A4AF3" w:rsidRPr="000A4AF3" w:rsidRDefault="000A4AF3" w:rsidP="000A4AF3">
      <w:pPr>
        <w:pStyle w:val="Odstavecseseznamem"/>
        <w:rPr>
          <w:color w:val="000000"/>
          <w:szCs w:val="20"/>
        </w:rPr>
      </w:pPr>
      <w:r w:rsidRPr="000A4AF3">
        <w:rPr>
          <w:color w:val="000000"/>
          <w:szCs w:val="20"/>
        </w:rPr>
        <w:t>Nový text:</w:t>
      </w:r>
    </w:p>
    <w:p w:rsidR="000A4AF3" w:rsidRPr="000A4AF3" w:rsidRDefault="000A4AF3" w:rsidP="000A4AF3">
      <w:pPr>
        <w:pStyle w:val="Odstavecseseznamem"/>
        <w:rPr>
          <w:color w:val="000000"/>
          <w:szCs w:val="20"/>
        </w:rPr>
      </w:pPr>
    </w:p>
    <w:tbl>
      <w:tblPr>
        <w:tblW w:w="12420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414"/>
        <w:gridCol w:w="1440"/>
        <w:gridCol w:w="8167"/>
        <w:gridCol w:w="824"/>
        <w:gridCol w:w="1180"/>
      </w:tblGrid>
      <w:tr w:rsidR="000A4AF3" w:rsidRPr="000A4AF3" w:rsidTr="000A4AF3">
        <w:trPr>
          <w:trHeight w:val="330"/>
        </w:trPr>
        <w:tc>
          <w:tcPr>
            <w:tcW w:w="340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A4AF3" w:rsidRPr="000A4AF3" w:rsidRDefault="000A4AF3">
            <w:pPr>
              <w:jc w:val="center"/>
              <w:rPr>
                <w:rFonts w:cs="Arial CE"/>
                <w:szCs w:val="20"/>
                <w:lang w:eastAsia="cs-CZ"/>
              </w:rPr>
            </w:pPr>
            <w:r w:rsidRPr="000A4AF3">
              <w:rPr>
                <w:rFonts w:cs="Arial CE"/>
                <w:szCs w:val="20"/>
                <w:lang w:eastAsia="cs-CZ"/>
              </w:rPr>
              <w:t>71</w:t>
            </w:r>
          </w:p>
        </w:tc>
        <w:tc>
          <w:tcPr>
            <w:tcW w:w="36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A4AF3" w:rsidRPr="000A4AF3" w:rsidRDefault="000A4AF3">
            <w:pPr>
              <w:jc w:val="center"/>
              <w:rPr>
                <w:rFonts w:cs="Arial CE"/>
                <w:szCs w:val="20"/>
                <w:lang w:eastAsia="cs-CZ"/>
              </w:rPr>
            </w:pPr>
            <w:r w:rsidRPr="000A4AF3">
              <w:rPr>
                <w:rFonts w:cs="Arial CE"/>
                <w:szCs w:val="20"/>
                <w:lang w:eastAsia="cs-CZ"/>
              </w:rPr>
              <w:t>K</w:t>
            </w:r>
          </w:p>
        </w:tc>
        <w:tc>
          <w:tcPr>
            <w:tcW w:w="144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A4AF3" w:rsidRPr="000A4AF3" w:rsidRDefault="000A4AF3">
            <w:pPr>
              <w:rPr>
                <w:rFonts w:cs="Arial CE"/>
                <w:szCs w:val="20"/>
                <w:lang w:eastAsia="cs-CZ"/>
              </w:rPr>
            </w:pPr>
            <w:r w:rsidRPr="000A4AF3">
              <w:rPr>
                <w:rFonts w:cs="Arial CE"/>
                <w:szCs w:val="20"/>
                <w:lang w:eastAsia="cs-CZ"/>
              </w:rPr>
              <w:t>21819-R</w:t>
            </w:r>
          </w:p>
        </w:tc>
        <w:tc>
          <w:tcPr>
            <w:tcW w:w="848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A4AF3" w:rsidRPr="000A4AF3" w:rsidRDefault="000A4AF3">
            <w:pPr>
              <w:rPr>
                <w:rFonts w:cs="Arial CE"/>
                <w:szCs w:val="20"/>
                <w:lang w:eastAsia="cs-CZ"/>
              </w:rPr>
            </w:pPr>
            <w:r w:rsidRPr="000A4AF3">
              <w:rPr>
                <w:rFonts w:cs="Arial CE"/>
                <w:szCs w:val="20"/>
                <w:lang w:eastAsia="cs-CZ"/>
              </w:rPr>
              <w:t>Úprava dvířek a niky na severní fasádě objektu</w:t>
            </w:r>
          </w:p>
        </w:tc>
        <w:tc>
          <w:tcPr>
            <w:tcW w:w="62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A4AF3" w:rsidRPr="000A4AF3" w:rsidRDefault="000A4AF3">
            <w:pPr>
              <w:jc w:val="center"/>
              <w:rPr>
                <w:rFonts w:cs="Arial CE"/>
                <w:szCs w:val="20"/>
                <w:lang w:eastAsia="cs-CZ"/>
              </w:rPr>
            </w:pPr>
            <w:r w:rsidRPr="000A4AF3">
              <w:rPr>
                <w:rFonts w:cs="Arial CE"/>
                <w:szCs w:val="20"/>
                <w:lang w:eastAsia="cs-CZ"/>
              </w:rPr>
              <w:t>soubor</w:t>
            </w:r>
          </w:p>
        </w:tc>
        <w:tc>
          <w:tcPr>
            <w:tcW w:w="118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A4AF3" w:rsidRPr="000A4AF3" w:rsidRDefault="000A4AF3">
            <w:pPr>
              <w:jc w:val="right"/>
              <w:rPr>
                <w:rFonts w:cs="Arial CE"/>
                <w:szCs w:val="20"/>
                <w:lang w:eastAsia="cs-CZ"/>
              </w:rPr>
            </w:pPr>
            <w:r w:rsidRPr="000A4AF3">
              <w:rPr>
                <w:rFonts w:cs="Arial CE"/>
                <w:szCs w:val="20"/>
                <w:lang w:eastAsia="cs-CZ"/>
              </w:rPr>
              <w:t>1,000</w:t>
            </w:r>
          </w:p>
        </w:tc>
      </w:tr>
      <w:tr w:rsidR="000A4AF3" w:rsidRPr="000A4AF3" w:rsidTr="000A4AF3">
        <w:trPr>
          <w:trHeight w:val="204"/>
        </w:trPr>
        <w:tc>
          <w:tcPr>
            <w:tcW w:w="3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A4AF3" w:rsidRPr="000A4AF3" w:rsidRDefault="000A4AF3">
            <w:pPr>
              <w:rPr>
                <w:rFonts w:cs="Arial CE"/>
                <w:szCs w:val="20"/>
                <w:lang w:eastAsia="cs-CZ"/>
              </w:rPr>
            </w:pPr>
          </w:p>
        </w:tc>
        <w:tc>
          <w:tcPr>
            <w:tcW w:w="1800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A4AF3" w:rsidRPr="000A4AF3" w:rsidRDefault="000A4AF3">
            <w:pPr>
              <w:rPr>
                <w:rFonts w:cs="Arial CE"/>
                <w:color w:val="979797"/>
                <w:szCs w:val="20"/>
                <w:lang w:eastAsia="cs-CZ"/>
              </w:rPr>
            </w:pPr>
            <w:r w:rsidRPr="000A4AF3">
              <w:rPr>
                <w:rFonts w:cs="Arial CE"/>
                <w:color w:val="979797"/>
                <w:szCs w:val="20"/>
                <w:lang w:eastAsia="cs-CZ"/>
              </w:rPr>
              <w:t>Online PSC</w:t>
            </w:r>
          </w:p>
        </w:tc>
        <w:tc>
          <w:tcPr>
            <w:tcW w:w="84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A4AF3" w:rsidRPr="000A4AF3" w:rsidRDefault="000A4AF3">
            <w:pPr>
              <w:rPr>
                <w:rFonts w:cs="Calibri"/>
                <w:i/>
                <w:iCs/>
                <w:color w:val="979797"/>
                <w:szCs w:val="20"/>
                <w:u w:val="single"/>
                <w:lang w:eastAsia="cs-CZ"/>
              </w:rPr>
            </w:pPr>
            <w:hyperlink r:id="rId5" w:history="1">
              <w:r w:rsidRPr="000A4AF3">
                <w:rPr>
                  <w:rStyle w:val="Hypertextovodkaz"/>
                  <w:i/>
                  <w:iCs/>
                  <w:color w:val="979797"/>
                  <w:szCs w:val="20"/>
                  <w:lang w:eastAsia="cs-CZ"/>
                </w:rPr>
                <w:t>https://podminky.urs.cz/item/CS_URS_2022_01/21819-R</w:t>
              </w:r>
            </w:hyperlink>
          </w:p>
        </w:tc>
        <w:tc>
          <w:tcPr>
            <w:tcW w:w="6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A4AF3" w:rsidRPr="000A4AF3" w:rsidRDefault="000A4AF3">
            <w:pPr>
              <w:rPr>
                <w:i/>
                <w:iCs/>
                <w:color w:val="979797"/>
                <w:szCs w:val="20"/>
                <w:u w:val="single"/>
                <w:lang w:eastAsia="cs-CZ"/>
              </w:rPr>
            </w:pPr>
          </w:p>
        </w:tc>
        <w:tc>
          <w:tcPr>
            <w:tcW w:w="11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A4AF3" w:rsidRPr="000A4AF3" w:rsidRDefault="000A4AF3">
            <w:pPr>
              <w:rPr>
                <w:rFonts w:eastAsia="Times New Roman" w:cs="Times New Roman"/>
                <w:szCs w:val="20"/>
                <w:lang w:eastAsia="cs-CZ"/>
              </w:rPr>
            </w:pPr>
          </w:p>
        </w:tc>
      </w:tr>
      <w:tr w:rsidR="000A4AF3" w:rsidRPr="000A4AF3" w:rsidTr="000A4AF3">
        <w:trPr>
          <w:trHeight w:val="204"/>
        </w:trPr>
        <w:tc>
          <w:tcPr>
            <w:tcW w:w="3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A4AF3" w:rsidRPr="000A4AF3" w:rsidRDefault="000A4AF3">
            <w:pPr>
              <w:rPr>
                <w:rFonts w:eastAsia="Times New Roman" w:cs="Times New Roman"/>
                <w:szCs w:val="20"/>
                <w:lang w:eastAsia="cs-CZ"/>
              </w:rPr>
            </w:pPr>
          </w:p>
        </w:tc>
        <w:tc>
          <w:tcPr>
            <w:tcW w:w="3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A4AF3" w:rsidRPr="000A4AF3" w:rsidRDefault="000A4AF3">
            <w:pPr>
              <w:rPr>
                <w:rFonts w:cs="Arial CE"/>
                <w:color w:val="969696"/>
                <w:szCs w:val="20"/>
                <w:lang w:eastAsia="cs-CZ"/>
              </w:rPr>
            </w:pPr>
            <w:r w:rsidRPr="000A4AF3">
              <w:rPr>
                <w:rFonts w:cs="Arial CE"/>
                <w:color w:val="969696"/>
                <w:szCs w:val="20"/>
                <w:lang w:eastAsia="cs-CZ"/>
              </w:rPr>
              <w:t>VV</w:t>
            </w:r>
          </w:p>
        </w:tc>
        <w:tc>
          <w:tcPr>
            <w:tcW w:w="14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A4AF3" w:rsidRPr="000A4AF3" w:rsidRDefault="000A4AF3">
            <w:pPr>
              <w:rPr>
                <w:rFonts w:cs="Arial CE"/>
                <w:color w:val="969696"/>
                <w:szCs w:val="20"/>
                <w:lang w:eastAsia="cs-CZ"/>
              </w:rPr>
            </w:pPr>
          </w:p>
        </w:tc>
        <w:tc>
          <w:tcPr>
            <w:tcW w:w="84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A4AF3" w:rsidRPr="000A4AF3" w:rsidRDefault="000A4AF3">
            <w:pPr>
              <w:rPr>
                <w:rFonts w:cs="Arial CE"/>
                <w:color w:val="800080"/>
                <w:szCs w:val="20"/>
                <w:lang w:eastAsia="cs-CZ"/>
              </w:rPr>
            </w:pPr>
            <w:r w:rsidRPr="000A4AF3">
              <w:rPr>
                <w:rFonts w:cs="Arial CE"/>
                <w:color w:val="800080"/>
                <w:szCs w:val="20"/>
                <w:lang w:eastAsia="cs-CZ"/>
              </w:rPr>
              <w:t>odsazení dvířek na zateplenou fasádu</w:t>
            </w:r>
          </w:p>
        </w:tc>
        <w:tc>
          <w:tcPr>
            <w:tcW w:w="6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A4AF3" w:rsidRPr="000A4AF3" w:rsidRDefault="000A4AF3">
            <w:pPr>
              <w:rPr>
                <w:rFonts w:cs="Arial CE"/>
                <w:color w:val="800080"/>
                <w:szCs w:val="20"/>
                <w:lang w:eastAsia="cs-CZ"/>
              </w:rPr>
            </w:pPr>
          </w:p>
        </w:tc>
        <w:tc>
          <w:tcPr>
            <w:tcW w:w="11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A4AF3" w:rsidRPr="000A4AF3" w:rsidRDefault="000A4AF3">
            <w:pPr>
              <w:rPr>
                <w:rFonts w:eastAsia="Times New Roman" w:cs="Times New Roman"/>
                <w:szCs w:val="20"/>
                <w:lang w:eastAsia="cs-CZ"/>
              </w:rPr>
            </w:pPr>
          </w:p>
        </w:tc>
      </w:tr>
      <w:tr w:rsidR="000A4AF3" w:rsidRPr="000A4AF3" w:rsidTr="000A4AF3">
        <w:trPr>
          <w:trHeight w:val="204"/>
        </w:trPr>
        <w:tc>
          <w:tcPr>
            <w:tcW w:w="3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A4AF3" w:rsidRPr="000A4AF3" w:rsidRDefault="000A4AF3">
            <w:pPr>
              <w:rPr>
                <w:rFonts w:eastAsia="Times New Roman" w:cs="Times New Roman"/>
                <w:szCs w:val="20"/>
                <w:lang w:eastAsia="cs-CZ"/>
              </w:rPr>
            </w:pPr>
          </w:p>
        </w:tc>
        <w:tc>
          <w:tcPr>
            <w:tcW w:w="3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A4AF3" w:rsidRPr="000A4AF3" w:rsidRDefault="000A4AF3">
            <w:pPr>
              <w:rPr>
                <w:rFonts w:cs="Arial CE"/>
                <w:color w:val="969696"/>
                <w:szCs w:val="20"/>
                <w:lang w:eastAsia="cs-CZ"/>
              </w:rPr>
            </w:pPr>
            <w:r w:rsidRPr="000A4AF3">
              <w:rPr>
                <w:rFonts w:cs="Arial CE"/>
                <w:color w:val="969696"/>
                <w:szCs w:val="20"/>
                <w:lang w:eastAsia="cs-CZ"/>
              </w:rPr>
              <w:t>VV</w:t>
            </w:r>
          </w:p>
        </w:tc>
        <w:tc>
          <w:tcPr>
            <w:tcW w:w="14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A4AF3" w:rsidRPr="000A4AF3" w:rsidRDefault="000A4AF3">
            <w:pPr>
              <w:rPr>
                <w:rFonts w:cs="Arial CE"/>
                <w:color w:val="969696"/>
                <w:szCs w:val="20"/>
                <w:lang w:eastAsia="cs-CZ"/>
              </w:rPr>
            </w:pPr>
          </w:p>
        </w:tc>
        <w:tc>
          <w:tcPr>
            <w:tcW w:w="84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A4AF3" w:rsidRPr="000A4AF3" w:rsidRDefault="000A4AF3">
            <w:pPr>
              <w:rPr>
                <w:rFonts w:cs="Arial CE"/>
                <w:color w:val="800080"/>
                <w:szCs w:val="20"/>
                <w:lang w:eastAsia="cs-CZ"/>
              </w:rPr>
            </w:pPr>
            <w:proofErr w:type="spellStart"/>
            <w:r w:rsidRPr="000A4AF3">
              <w:rPr>
                <w:rFonts w:cs="Arial CE"/>
                <w:color w:val="800080"/>
                <w:szCs w:val="20"/>
                <w:lang w:eastAsia="cs-CZ"/>
              </w:rPr>
              <w:t>odrezivění</w:t>
            </w:r>
            <w:proofErr w:type="spellEnd"/>
            <w:r w:rsidRPr="000A4AF3">
              <w:rPr>
                <w:rFonts w:cs="Arial CE"/>
                <w:color w:val="800080"/>
                <w:szCs w:val="20"/>
                <w:lang w:eastAsia="cs-CZ"/>
              </w:rPr>
              <w:t xml:space="preserve">, nátěr (základní, </w:t>
            </w:r>
            <w:proofErr w:type="spellStart"/>
            <w:r w:rsidRPr="000A4AF3">
              <w:rPr>
                <w:rFonts w:cs="Arial CE"/>
                <w:color w:val="800080"/>
                <w:szCs w:val="20"/>
                <w:lang w:eastAsia="cs-CZ"/>
              </w:rPr>
              <w:t>mezinátěr</w:t>
            </w:r>
            <w:proofErr w:type="spellEnd"/>
            <w:r w:rsidRPr="000A4AF3">
              <w:rPr>
                <w:rFonts w:cs="Arial CE"/>
                <w:color w:val="800080"/>
                <w:szCs w:val="20"/>
                <w:lang w:eastAsia="cs-CZ"/>
              </w:rPr>
              <w:t xml:space="preserve"> a vrchní)</w:t>
            </w:r>
          </w:p>
        </w:tc>
        <w:tc>
          <w:tcPr>
            <w:tcW w:w="6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A4AF3" w:rsidRPr="000A4AF3" w:rsidRDefault="000A4AF3">
            <w:pPr>
              <w:rPr>
                <w:rFonts w:cs="Arial CE"/>
                <w:color w:val="800080"/>
                <w:szCs w:val="20"/>
                <w:lang w:eastAsia="cs-CZ"/>
              </w:rPr>
            </w:pPr>
          </w:p>
        </w:tc>
        <w:tc>
          <w:tcPr>
            <w:tcW w:w="11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A4AF3" w:rsidRPr="000A4AF3" w:rsidRDefault="000A4AF3">
            <w:pPr>
              <w:rPr>
                <w:rFonts w:eastAsia="Times New Roman" w:cs="Times New Roman"/>
                <w:szCs w:val="20"/>
                <w:lang w:eastAsia="cs-CZ"/>
              </w:rPr>
            </w:pPr>
          </w:p>
        </w:tc>
      </w:tr>
      <w:tr w:rsidR="000A4AF3" w:rsidRPr="000A4AF3" w:rsidTr="000A4AF3">
        <w:trPr>
          <w:trHeight w:val="204"/>
        </w:trPr>
        <w:tc>
          <w:tcPr>
            <w:tcW w:w="3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A4AF3" w:rsidRPr="000A4AF3" w:rsidRDefault="000A4AF3">
            <w:pPr>
              <w:rPr>
                <w:rFonts w:eastAsia="Times New Roman" w:cs="Times New Roman"/>
                <w:szCs w:val="20"/>
                <w:lang w:eastAsia="cs-CZ"/>
              </w:rPr>
            </w:pPr>
          </w:p>
        </w:tc>
        <w:tc>
          <w:tcPr>
            <w:tcW w:w="3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A4AF3" w:rsidRPr="000A4AF3" w:rsidRDefault="000A4AF3">
            <w:pPr>
              <w:rPr>
                <w:rFonts w:cs="Arial CE"/>
                <w:color w:val="969696"/>
                <w:szCs w:val="20"/>
                <w:lang w:eastAsia="cs-CZ"/>
              </w:rPr>
            </w:pPr>
            <w:r w:rsidRPr="000A4AF3">
              <w:rPr>
                <w:rFonts w:cs="Arial CE"/>
                <w:color w:val="969696"/>
                <w:szCs w:val="20"/>
                <w:lang w:eastAsia="cs-CZ"/>
              </w:rPr>
              <w:t>VV</w:t>
            </w:r>
          </w:p>
        </w:tc>
        <w:tc>
          <w:tcPr>
            <w:tcW w:w="14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A4AF3" w:rsidRPr="000A4AF3" w:rsidRDefault="000A4AF3">
            <w:pPr>
              <w:rPr>
                <w:rFonts w:cs="Arial CE"/>
                <w:color w:val="969696"/>
                <w:szCs w:val="20"/>
                <w:lang w:eastAsia="cs-CZ"/>
              </w:rPr>
            </w:pPr>
          </w:p>
        </w:tc>
        <w:tc>
          <w:tcPr>
            <w:tcW w:w="84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A4AF3" w:rsidRPr="000A4AF3" w:rsidRDefault="000A4AF3">
            <w:pPr>
              <w:rPr>
                <w:rFonts w:cs="Arial CE"/>
                <w:color w:val="800080"/>
                <w:szCs w:val="20"/>
                <w:lang w:eastAsia="cs-CZ"/>
              </w:rPr>
            </w:pPr>
            <w:r w:rsidRPr="000A4AF3">
              <w:rPr>
                <w:rFonts w:cs="Arial CE"/>
                <w:color w:val="800080"/>
                <w:szCs w:val="20"/>
                <w:lang w:eastAsia="cs-CZ"/>
              </w:rPr>
              <w:t>vyspravení vnitřní části skříně (niky) - oprava omítky</w:t>
            </w:r>
          </w:p>
        </w:tc>
        <w:tc>
          <w:tcPr>
            <w:tcW w:w="6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A4AF3" w:rsidRPr="000A4AF3" w:rsidRDefault="000A4AF3">
            <w:pPr>
              <w:rPr>
                <w:rFonts w:cs="Arial CE"/>
                <w:color w:val="800080"/>
                <w:szCs w:val="20"/>
                <w:lang w:eastAsia="cs-CZ"/>
              </w:rPr>
            </w:pPr>
          </w:p>
        </w:tc>
        <w:tc>
          <w:tcPr>
            <w:tcW w:w="11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A4AF3" w:rsidRPr="000A4AF3" w:rsidRDefault="000A4AF3">
            <w:pPr>
              <w:rPr>
                <w:rFonts w:eastAsia="Times New Roman" w:cs="Times New Roman"/>
                <w:szCs w:val="20"/>
                <w:lang w:eastAsia="cs-CZ"/>
              </w:rPr>
            </w:pPr>
          </w:p>
        </w:tc>
      </w:tr>
      <w:tr w:rsidR="000A4AF3" w:rsidRPr="000A4AF3" w:rsidTr="000A4AF3">
        <w:trPr>
          <w:trHeight w:val="204"/>
        </w:trPr>
        <w:tc>
          <w:tcPr>
            <w:tcW w:w="3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A4AF3" w:rsidRPr="000A4AF3" w:rsidRDefault="000A4AF3">
            <w:pPr>
              <w:rPr>
                <w:rFonts w:eastAsia="Times New Roman" w:cs="Times New Roman"/>
                <w:szCs w:val="20"/>
                <w:lang w:eastAsia="cs-CZ"/>
              </w:rPr>
            </w:pPr>
          </w:p>
        </w:tc>
        <w:tc>
          <w:tcPr>
            <w:tcW w:w="3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A4AF3" w:rsidRPr="000A4AF3" w:rsidRDefault="000A4AF3">
            <w:pPr>
              <w:rPr>
                <w:rFonts w:cs="Arial CE"/>
                <w:color w:val="969696"/>
                <w:szCs w:val="20"/>
                <w:lang w:eastAsia="cs-CZ"/>
              </w:rPr>
            </w:pPr>
            <w:r w:rsidRPr="000A4AF3">
              <w:rPr>
                <w:rFonts w:cs="Arial CE"/>
                <w:color w:val="969696"/>
                <w:szCs w:val="20"/>
                <w:lang w:eastAsia="cs-CZ"/>
              </w:rPr>
              <w:t>VV</w:t>
            </w:r>
          </w:p>
        </w:tc>
        <w:tc>
          <w:tcPr>
            <w:tcW w:w="14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A4AF3" w:rsidRPr="000A4AF3" w:rsidRDefault="000A4AF3">
            <w:pPr>
              <w:rPr>
                <w:rFonts w:cs="Arial CE"/>
                <w:color w:val="969696"/>
                <w:szCs w:val="20"/>
                <w:lang w:eastAsia="cs-CZ"/>
              </w:rPr>
            </w:pPr>
          </w:p>
        </w:tc>
        <w:tc>
          <w:tcPr>
            <w:tcW w:w="84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A4AF3" w:rsidRPr="000A4AF3" w:rsidRDefault="000A4AF3">
            <w:pPr>
              <w:rPr>
                <w:rFonts w:cs="Arial CE"/>
                <w:color w:val="505050"/>
                <w:szCs w:val="20"/>
                <w:lang w:eastAsia="cs-CZ"/>
              </w:rPr>
            </w:pPr>
            <w:r w:rsidRPr="000A4AF3">
              <w:rPr>
                <w:rFonts w:cs="Arial CE"/>
                <w:color w:val="505050"/>
                <w:szCs w:val="20"/>
                <w:lang w:eastAsia="cs-CZ"/>
              </w:rPr>
              <w:t>1</w:t>
            </w:r>
          </w:p>
        </w:tc>
        <w:tc>
          <w:tcPr>
            <w:tcW w:w="6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A4AF3" w:rsidRPr="000A4AF3" w:rsidRDefault="000A4AF3">
            <w:pPr>
              <w:rPr>
                <w:rFonts w:cs="Arial CE"/>
                <w:color w:val="505050"/>
                <w:szCs w:val="20"/>
                <w:lang w:eastAsia="cs-CZ"/>
              </w:rPr>
            </w:pPr>
          </w:p>
        </w:tc>
        <w:tc>
          <w:tcPr>
            <w:tcW w:w="11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A4AF3" w:rsidRPr="000A4AF3" w:rsidRDefault="000A4AF3">
            <w:pPr>
              <w:jc w:val="right"/>
              <w:rPr>
                <w:rFonts w:cs="Arial CE"/>
                <w:color w:val="505050"/>
                <w:szCs w:val="20"/>
                <w:lang w:eastAsia="cs-CZ"/>
              </w:rPr>
            </w:pPr>
            <w:r w:rsidRPr="000A4AF3">
              <w:rPr>
                <w:rFonts w:cs="Arial CE"/>
                <w:color w:val="505050"/>
                <w:szCs w:val="20"/>
                <w:lang w:eastAsia="cs-CZ"/>
              </w:rPr>
              <w:t>1,000</w:t>
            </w:r>
          </w:p>
        </w:tc>
      </w:tr>
    </w:tbl>
    <w:p w:rsidR="000A4AF3" w:rsidRPr="000A4AF3" w:rsidRDefault="000A4AF3" w:rsidP="000A4AF3">
      <w:pPr>
        <w:rPr>
          <w:rFonts w:cs="Calibri"/>
          <w:color w:val="000000"/>
          <w:szCs w:val="20"/>
        </w:rPr>
      </w:pPr>
    </w:p>
    <w:p w:rsidR="000A4AF3" w:rsidRPr="000A4AF3" w:rsidRDefault="000A4AF3" w:rsidP="000A4AF3">
      <w:pPr>
        <w:rPr>
          <w:color w:val="000000"/>
          <w:szCs w:val="20"/>
        </w:rPr>
      </w:pPr>
    </w:p>
    <w:p w:rsidR="000A4AF3" w:rsidRPr="000A4AF3" w:rsidRDefault="000A4AF3">
      <w:pPr>
        <w:rPr>
          <w:b/>
          <w:szCs w:val="20"/>
        </w:rPr>
      </w:pPr>
      <w:r w:rsidRPr="000A4AF3">
        <w:rPr>
          <w:b/>
          <w:i/>
          <w:iCs/>
          <w:color w:val="000000"/>
          <w:szCs w:val="20"/>
        </w:rPr>
        <w:t xml:space="preserve">Nově je </w:t>
      </w:r>
      <w:r w:rsidRPr="000A4AF3">
        <w:rPr>
          <w:b/>
          <w:i/>
          <w:iCs/>
          <w:color w:val="000000"/>
          <w:szCs w:val="20"/>
        </w:rPr>
        <w:t>přiložena fotodokumentace a projektová dokumentace střechy, která byla realizována a na kterou má navazovat zateplení fasády a atiky</w:t>
      </w:r>
      <w:r w:rsidRPr="000A4AF3">
        <w:rPr>
          <w:b/>
          <w:i/>
          <w:iCs/>
          <w:color w:val="000000"/>
          <w:szCs w:val="20"/>
        </w:rPr>
        <w:t>.</w:t>
      </w:r>
    </w:p>
    <w:sectPr w:rsidR="000A4AF3" w:rsidRPr="000A4A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8C2FEF"/>
    <w:multiLevelType w:val="hybridMultilevel"/>
    <w:tmpl w:val="BBAEB5B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AF3"/>
    <w:rsid w:val="000A4AF3"/>
    <w:rsid w:val="00127826"/>
    <w:rsid w:val="003727EC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F7D32"/>
  <w15:chartTrackingRefBased/>
  <w15:docId w15:val="{36C97532-4702-43B3-B635-AA15EB346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Hypertextovodkaz">
    <w:name w:val="Hyperlink"/>
    <w:basedOn w:val="Standardnpsmoodstavce"/>
    <w:uiPriority w:val="99"/>
    <w:semiHidden/>
    <w:unhideWhenUsed/>
    <w:rsid w:val="000A4AF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3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odminky.urs.cz/item/CS_URS_2022_01/21819-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220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Sečkařová Andrea</dc:creator>
  <cp:keywords/>
  <dc:description/>
  <cp:lastModifiedBy>Sečkařová Andrea</cp:lastModifiedBy>
  <cp:revision>1</cp:revision>
  <dcterms:created xsi:type="dcterms:W3CDTF">2022-07-12T11:52:00Z</dcterms:created>
  <dcterms:modified xsi:type="dcterms:W3CDTF">2022-07-12T11:57:00Z</dcterms:modified>
</cp:coreProperties>
</file>